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5000" w:type="pct"/>
        <w:tblLayout w:type="fixed"/>
        <w:tblCellMar>
          <w:left w:w="57" w:type="dxa"/>
          <w:right w:w="57" w:type="dxa"/>
        </w:tblCellMar>
        <w:tblLook w:val="04A0" w:firstRow="1" w:lastRow="0" w:firstColumn="1" w:lastColumn="0" w:noHBand="0" w:noVBand="1"/>
      </w:tblPr>
      <w:tblGrid>
        <w:gridCol w:w="1978"/>
        <w:gridCol w:w="6320"/>
      </w:tblGrid>
      <w:tr w:rsidR="00115662" w:rsidRPr="00B86F04" w14:paraId="7F29955C" w14:textId="77777777" w:rsidTr="00F322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15A719B9" w14:textId="77777777" w:rsidR="00115662" w:rsidRPr="00B86F04" w:rsidRDefault="00115662" w:rsidP="00F32211">
            <w:pPr>
              <w:spacing w:before="60" w:after="60"/>
              <w:jc w:val="left"/>
              <w:rPr>
                <w:rFonts w:cs="Calibri"/>
                <w:b w:val="0"/>
                <w:bCs w:val="0"/>
                <w:color w:val="000000"/>
                <w:lang w:eastAsia="el-GR"/>
              </w:rPr>
            </w:pPr>
            <w:r w:rsidRPr="00B86F04">
              <w:rPr>
                <w:rFonts w:cstheme="minorHAnsi"/>
                <w:color w:val="000000"/>
                <w:lang w:eastAsia="el-GR"/>
              </w:rPr>
              <w:t>Κωδικός δείκτη</w:t>
            </w:r>
          </w:p>
        </w:tc>
        <w:tc>
          <w:tcPr>
            <w:tcW w:w="3808" w:type="pct"/>
            <w:tcBorders>
              <w:top w:val="single" w:sz="2" w:space="0" w:color="A8D08D" w:themeColor="accent6" w:themeTint="99"/>
              <w:left w:val="nil"/>
              <w:bottom w:val="single" w:sz="2" w:space="0" w:color="A8D08D" w:themeColor="accent6" w:themeTint="99"/>
              <w:right w:val="single" w:sz="2" w:space="0" w:color="A8D08D" w:themeColor="accent6" w:themeTint="99"/>
            </w:tcBorders>
            <w:shd w:val="clear" w:color="auto" w:fill="auto"/>
            <w:noWrap/>
            <w:vAlign w:val="center"/>
            <w:hideMark/>
          </w:tcPr>
          <w:p w14:paraId="46928C9F" w14:textId="77777777" w:rsidR="00115662" w:rsidRPr="00B86F04" w:rsidRDefault="00115662" w:rsidP="00F32211">
            <w:pPr>
              <w:spacing w:before="60" w:after="60"/>
              <w:jc w:val="left"/>
              <w:cnfStyle w:val="100000000000" w:firstRow="1" w:lastRow="0" w:firstColumn="0" w:lastColumn="0" w:oddVBand="0" w:evenVBand="0" w:oddHBand="0" w:evenHBand="0" w:firstRowFirstColumn="0" w:firstRowLastColumn="0" w:lastRowFirstColumn="0" w:lastRowLastColumn="0"/>
              <w:rPr>
                <w:rFonts w:cs="Calibri"/>
                <w:b w:val="0"/>
                <w:bCs w:val="0"/>
                <w:color w:val="000000"/>
                <w:lang w:eastAsia="el-GR"/>
              </w:rPr>
            </w:pPr>
            <w:r w:rsidRPr="00735767">
              <w:rPr>
                <w:color w:val="000000"/>
              </w:rPr>
              <w:t>ΕΕCO18</w:t>
            </w:r>
          </w:p>
        </w:tc>
      </w:tr>
      <w:tr w:rsidR="00115662" w:rsidRPr="00B86F04" w14:paraId="6D3B4B63"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tcBorders>
            <w:noWrap/>
            <w:hideMark/>
          </w:tcPr>
          <w:p w14:paraId="7953F64F" w14:textId="77777777" w:rsidR="00115662" w:rsidRPr="00B86F04" w:rsidRDefault="00115662" w:rsidP="00F32211">
            <w:pPr>
              <w:spacing w:before="60" w:after="60"/>
              <w:jc w:val="left"/>
              <w:rPr>
                <w:rFonts w:cs="Calibri"/>
                <w:b w:val="0"/>
                <w:bCs w:val="0"/>
                <w:color w:val="000000"/>
                <w:lang w:eastAsia="el-GR"/>
              </w:rPr>
            </w:pPr>
            <w:r w:rsidRPr="00B86F04">
              <w:rPr>
                <w:rFonts w:cstheme="minorHAnsi"/>
                <w:color w:val="000000"/>
                <w:lang w:eastAsia="el-GR"/>
              </w:rPr>
              <w:t>Ονομασία δείκτη</w:t>
            </w:r>
          </w:p>
        </w:tc>
        <w:tc>
          <w:tcPr>
            <w:tcW w:w="3808" w:type="pct"/>
            <w:tcBorders>
              <w:top w:val="single" w:sz="2" w:space="0" w:color="A8D08D" w:themeColor="accent6" w:themeTint="99"/>
              <w:left w:val="nil"/>
              <w:bottom w:val="single" w:sz="4" w:space="0" w:color="A8D08D" w:themeColor="accent6" w:themeTint="99"/>
              <w:right w:val="single" w:sz="2" w:space="0" w:color="A8D08D" w:themeColor="accent6" w:themeTint="99"/>
            </w:tcBorders>
            <w:shd w:val="clear" w:color="auto" w:fill="auto"/>
            <w:vAlign w:val="center"/>
          </w:tcPr>
          <w:p w14:paraId="251D39B3" w14:textId="77777777" w:rsidR="00115662" w:rsidRPr="00B86F04" w:rsidRDefault="00115662"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B86F04">
              <w:rPr>
                <w:rFonts w:cs="Calibri"/>
                <w:b/>
                <w:bCs/>
                <w:color w:val="000000"/>
                <w:lang w:eastAsia="el-GR"/>
              </w:rPr>
              <w:t xml:space="preserve">Αριθμός </w:t>
            </w:r>
            <w:r>
              <w:rPr>
                <w:rFonts w:cs="Calibri"/>
                <w:b/>
                <w:bCs/>
                <w:color w:val="000000"/>
                <w:lang w:eastAsia="el-GR"/>
              </w:rPr>
              <w:t>υποστηριζόμενων</w:t>
            </w:r>
            <w:r w:rsidRPr="00B86F04">
              <w:rPr>
                <w:rFonts w:cs="Calibri"/>
                <w:b/>
                <w:bCs/>
                <w:color w:val="000000"/>
                <w:lang w:eastAsia="el-GR"/>
              </w:rPr>
              <w:t xml:space="preserve"> δημόσιων διοικήσεων ή δημόσιων υπηρεσιών</w:t>
            </w:r>
            <w:r>
              <w:rPr>
                <w:rFonts w:cs="Calibri"/>
                <w:b/>
                <w:bCs/>
                <w:color w:val="000000"/>
                <w:lang w:eastAsia="el-GR"/>
              </w:rPr>
              <w:t xml:space="preserve"> </w:t>
            </w:r>
            <w:r w:rsidRPr="00590F6E">
              <w:rPr>
                <w:rFonts w:cs="Calibri"/>
                <w:b/>
                <w:bCs/>
                <w:color w:val="000000"/>
                <w:lang w:eastAsia="el-GR"/>
              </w:rPr>
              <w:t>σε εθνικό, περιφερειακό ή τοπικό επίπεδο</w:t>
            </w:r>
          </w:p>
        </w:tc>
      </w:tr>
      <w:tr w:rsidR="00115662" w:rsidRPr="009F555C" w14:paraId="56802A0B"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tcPr>
          <w:p w14:paraId="16C7FA1F" w14:textId="77777777" w:rsidR="00115662" w:rsidRPr="004C03A5" w:rsidRDefault="00115662" w:rsidP="00F32211">
            <w:pPr>
              <w:spacing w:before="60" w:after="60"/>
              <w:jc w:val="left"/>
              <w:rPr>
                <w:rFonts w:cstheme="minorHAnsi"/>
                <w:color w:val="000000"/>
                <w:lang w:eastAsia="el-GR"/>
              </w:rPr>
            </w:pPr>
            <w:r w:rsidRPr="004C03A5">
              <w:rPr>
                <w:rFonts w:cstheme="minorHAnsi"/>
                <w:color w:val="000000"/>
                <w:lang w:eastAsia="el-GR"/>
              </w:rPr>
              <w:t>Ορισμός</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10D33322" w14:textId="77777777" w:rsidR="00115662" w:rsidRDefault="00115662" w:rsidP="00F32211">
            <w:pPr>
              <w:pStyle w:val="Default"/>
              <w:jc w:val="both"/>
              <w:cnfStyle w:val="000000000000" w:firstRow="0" w:lastRow="0" w:firstColumn="0" w:lastColumn="0" w:oddVBand="0" w:evenVBand="0" w:oddHBand="0" w:evenHBand="0" w:firstRowFirstColumn="0" w:firstRowLastColumn="0" w:lastRowFirstColumn="0" w:lastRowLastColumn="0"/>
              <w:rPr>
                <w:color w:val="323232"/>
                <w:sz w:val="20"/>
                <w:szCs w:val="20"/>
              </w:rPr>
            </w:pPr>
            <w:r>
              <w:rPr>
                <w:i/>
                <w:iCs/>
                <w:color w:val="323232"/>
                <w:sz w:val="20"/>
                <w:szCs w:val="20"/>
              </w:rPr>
              <w:t xml:space="preserve">Η δημόσια διοίκηση θεωρείται ότι περιλαμβάνει: την εκτελεστική και νομοθετική διοίκηση των κεντρικών, περιφερειακών και τοπικών φορέων· τη διαχείριση και την εποπτεία φορολογικών υποθέσεων (λειτουργία φορολογικών καθεστώτων· είσπραξη τελών/φόρων επί των αγαθών και έρευνα για φορολογικές παραβάσεις· τελωνειακή διοίκηση)· την εκτέλεση του προϋπολογισμού και τη διαχείριση των δημόσιων πόρων και του δημόσιου χρέους (συγκέντρωση και είσπραξη χρηματικών ποσών και έλεγχος της εκταμίευσής τους)· τη διαχείριση της συνολικής πολιτικής έρευνας και ανάπτυξης (της κοινωνίας των πολιτών) και των σχετικών κονδυλίων· τη διοίκηση και τη λειτουργία του συνολικού οικονομικού και κοινωνικού σχεδιασμού και των στατιστικών υπηρεσιών στα διάφορα επίπεδα διακυβέρνησης. </w:t>
            </w:r>
          </w:p>
          <w:p w14:paraId="115D57DA" w14:textId="77777777" w:rsidR="00115662" w:rsidRDefault="00115662" w:rsidP="00F32211">
            <w:pPr>
              <w:pStyle w:val="Default"/>
              <w:jc w:val="both"/>
              <w:cnfStyle w:val="000000000000" w:firstRow="0" w:lastRow="0" w:firstColumn="0" w:lastColumn="0" w:oddVBand="0" w:evenVBand="0" w:oddHBand="0" w:evenHBand="0" w:firstRowFirstColumn="0" w:firstRowLastColumn="0" w:lastRowFirstColumn="0" w:lastRowLastColumn="0"/>
              <w:rPr>
                <w:color w:val="323232"/>
                <w:sz w:val="20"/>
                <w:szCs w:val="20"/>
              </w:rPr>
            </w:pPr>
            <w:r>
              <w:rPr>
                <w:color w:val="323232"/>
                <w:sz w:val="20"/>
                <w:szCs w:val="20"/>
              </w:rPr>
              <w:t xml:space="preserve">Οι δημόσιες υπηρεσίες αναφέρονται σε κάθε δημόσιο ή ιδιωτικό φορέα ο οποίος παρέχει υπηρεσία στο κοινό. Το ιδιωτικό στοιχείο του παρόντα ορισμού αφορά περιπτώσεις στις οποίες ορισμένες υπηρεσίες ανατίθενται από το κράτος σε μεγάλους ιδιωτικούς ή </w:t>
            </w:r>
            <w:proofErr w:type="spellStart"/>
            <w:r>
              <w:rPr>
                <w:color w:val="323232"/>
                <w:sz w:val="20"/>
                <w:szCs w:val="20"/>
              </w:rPr>
              <w:t>ημι</w:t>
            </w:r>
            <w:proofErr w:type="spellEnd"/>
            <w:r>
              <w:rPr>
                <w:color w:val="323232"/>
                <w:sz w:val="20"/>
                <w:szCs w:val="20"/>
              </w:rPr>
              <w:t xml:space="preserve">-ιδιωτικούς παρόχους, δηλαδή ιδιωτικούς φορείς με δημόσια λειτουργία. </w:t>
            </w:r>
          </w:p>
          <w:p w14:paraId="44FFF806" w14:textId="77777777" w:rsidR="00115662" w:rsidRDefault="00115662" w:rsidP="00F32211">
            <w:pPr>
              <w:pStyle w:val="Default"/>
              <w:jc w:val="both"/>
              <w:cnfStyle w:val="000000000000" w:firstRow="0" w:lastRow="0" w:firstColumn="0" w:lastColumn="0" w:oddVBand="0" w:evenVBand="0" w:oddHBand="0" w:evenHBand="0" w:firstRowFirstColumn="0" w:firstRowLastColumn="0" w:lastRowFirstColumn="0" w:lastRowLastColumn="0"/>
              <w:rPr>
                <w:color w:val="323232"/>
                <w:sz w:val="20"/>
                <w:szCs w:val="20"/>
              </w:rPr>
            </w:pPr>
          </w:p>
          <w:p w14:paraId="2ADAD001" w14:textId="77777777" w:rsidR="00115662" w:rsidRDefault="00115662" w:rsidP="00F32211">
            <w:pPr>
              <w:pStyle w:val="Default"/>
              <w:jc w:val="both"/>
              <w:cnfStyle w:val="000000000000" w:firstRow="0" w:lastRow="0" w:firstColumn="0" w:lastColumn="0" w:oddVBand="0" w:evenVBand="0" w:oddHBand="0" w:evenHBand="0" w:firstRowFirstColumn="0" w:firstRowLastColumn="0" w:lastRowFirstColumn="0" w:lastRowLastColumn="0"/>
              <w:rPr>
                <w:color w:val="323232"/>
                <w:sz w:val="20"/>
                <w:szCs w:val="20"/>
              </w:rPr>
            </w:pPr>
            <w:r>
              <w:rPr>
                <w:color w:val="323232"/>
                <w:sz w:val="20"/>
                <w:szCs w:val="20"/>
              </w:rPr>
              <w:t xml:space="preserve">Πηγή: </w:t>
            </w:r>
            <w:proofErr w:type="spellStart"/>
            <w:r>
              <w:rPr>
                <w:color w:val="323232"/>
                <w:sz w:val="20"/>
                <w:szCs w:val="20"/>
              </w:rPr>
              <w:t>Eurostat</w:t>
            </w:r>
            <w:proofErr w:type="spellEnd"/>
            <w:r>
              <w:rPr>
                <w:color w:val="323232"/>
                <w:sz w:val="20"/>
                <w:szCs w:val="20"/>
              </w:rPr>
              <w:t xml:space="preserve">, NACE </w:t>
            </w:r>
            <w:proofErr w:type="spellStart"/>
            <w:r>
              <w:rPr>
                <w:color w:val="323232"/>
                <w:sz w:val="20"/>
                <w:szCs w:val="20"/>
              </w:rPr>
              <w:t>αναθ</w:t>
            </w:r>
            <w:proofErr w:type="spellEnd"/>
            <w:r>
              <w:rPr>
                <w:color w:val="323232"/>
                <w:sz w:val="20"/>
                <w:szCs w:val="20"/>
              </w:rPr>
              <w:t xml:space="preserve">. 2 — Στατιστική ταξινόμηση των οικονομικών δραστηριοτήτων στην Ευρωπαϊκή Κοινότητα, 2008 (σ. 286) </w:t>
            </w:r>
          </w:p>
          <w:p w14:paraId="276A7754" w14:textId="77777777" w:rsidR="00115662" w:rsidRDefault="00115662" w:rsidP="00F32211">
            <w:pPr>
              <w:pStyle w:val="Default"/>
              <w:ind w:left="360"/>
              <w:jc w:val="both"/>
              <w:cnfStyle w:val="000000000000" w:firstRow="0" w:lastRow="0" w:firstColumn="0" w:lastColumn="0" w:oddVBand="0" w:evenVBand="0" w:oddHBand="0" w:evenHBand="0" w:firstRowFirstColumn="0" w:firstRowLastColumn="0" w:lastRowFirstColumn="0" w:lastRowLastColumn="0"/>
              <w:rPr>
                <w:color w:val="323232"/>
                <w:sz w:val="20"/>
                <w:szCs w:val="20"/>
              </w:rPr>
            </w:pPr>
          </w:p>
          <w:p w14:paraId="3A709780" w14:textId="77777777" w:rsidR="00115662" w:rsidRPr="00A2658A" w:rsidRDefault="00115662" w:rsidP="00F32211">
            <w:pPr>
              <w:pStyle w:val="Default"/>
              <w:jc w:val="both"/>
              <w:cnfStyle w:val="000000000000" w:firstRow="0" w:lastRow="0" w:firstColumn="0" w:lastColumn="0" w:oddVBand="0" w:evenVBand="0" w:oddHBand="0" w:evenHBand="0" w:firstRowFirstColumn="0" w:firstRowLastColumn="0" w:lastRowFirstColumn="0" w:lastRowLastColumn="0"/>
              <w:rPr>
                <w:color w:val="323232"/>
                <w:sz w:val="20"/>
                <w:szCs w:val="20"/>
              </w:rPr>
            </w:pPr>
            <w:r>
              <w:rPr>
                <w:color w:val="323232"/>
                <w:sz w:val="20"/>
                <w:szCs w:val="20"/>
              </w:rPr>
              <w:t xml:space="preserve">Η διατύπωση με πλάγιους χαρακτήρες ταυτίζεται με τον ορισμό της </w:t>
            </w:r>
            <w:proofErr w:type="spellStart"/>
            <w:r>
              <w:rPr>
                <w:color w:val="323232"/>
                <w:sz w:val="20"/>
                <w:szCs w:val="20"/>
              </w:rPr>
              <w:t>Eurostat</w:t>
            </w:r>
            <w:proofErr w:type="spellEnd"/>
            <w:r>
              <w:rPr>
                <w:color w:val="323232"/>
                <w:sz w:val="20"/>
                <w:szCs w:val="20"/>
              </w:rPr>
              <w:t xml:space="preserve">. </w:t>
            </w:r>
          </w:p>
          <w:p w14:paraId="0C70D601" w14:textId="77777777" w:rsidR="00115662"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p>
          <w:p w14:paraId="5FCEA94C" w14:textId="77777777" w:rsidR="00115662" w:rsidRPr="00A2658A"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b/>
                <w:color w:val="000000"/>
              </w:rPr>
            </w:pPr>
            <w:r w:rsidRPr="00A2658A">
              <w:rPr>
                <w:b/>
                <w:color w:val="000000"/>
              </w:rPr>
              <w:t xml:space="preserve">Επεξήγηση </w:t>
            </w:r>
            <w:r w:rsidRPr="00A2658A">
              <w:rPr>
                <w:b/>
                <w:color w:val="000000"/>
                <w:lang w:val="en-US"/>
              </w:rPr>
              <w:t>SFC</w:t>
            </w:r>
          </w:p>
          <w:p w14:paraId="1641A6A6" w14:textId="77777777" w:rsidR="00115662" w:rsidRPr="004C03A5"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4C03A5">
              <w:rPr>
                <w:color w:val="000000"/>
              </w:rPr>
              <w:t xml:space="preserve">Τόσο οι δημόσιες διοικήσεις που καλύπτονται από την κατηγορία NACE 84.11 </w:t>
            </w:r>
            <w:r w:rsidRPr="004C03A5">
              <w:rPr>
                <w:rFonts w:ascii="Verdana" w:hAnsi="Verdana"/>
                <w:color w:val="074A8B"/>
                <w:sz w:val="21"/>
                <w:szCs w:val="21"/>
                <w:shd w:val="clear" w:color="auto" w:fill="E9F2FA"/>
              </w:rPr>
              <w:t>(</w:t>
            </w:r>
            <w:r w:rsidRPr="004C03A5">
              <w:rPr>
                <w:color w:val="000000"/>
              </w:rPr>
              <w:t>Γενικές δραστηριότητες δημόσιας διοίκησης) όσο και οι δημόσιες υπηρεσίες (συμπεριλαμβανομένων εκείνων που καλύπτονται από την κατηγορία NACE 84.12 Κανονισμός των δραστηριοτήτων παροχής υγειονομικής περίθαλψης, εκπαίδευσης, πολιτιστικών υπηρεσιών και άλλων κοινωνικών υπηρεσιών, εξαιρουμένης της κοινωνικής ασφάλισης) πρέπει να ληφθούν υπόψη για τον κοινό δείκτη "Αριθμός των δημόσιων διοικήσεων ή των δημόσιων υπηρεσιών που υποστηρίζονται σε εθνικό, περιφερειακό ή τοπικό επίπεδο" .</w:t>
            </w:r>
          </w:p>
          <w:p w14:paraId="6FA2E034" w14:textId="77777777" w:rsidR="00115662" w:rsidRPr="009F555C"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4C03A5">
              <w:rPr>
                <w:color w:val="000000"/>
              </w:rPr>
              <w:t xml:space="preserve">Ο ορισμός της κατηγορίας 84.12 καλύπτει δημόσιες υπηρεσίες όπως υγεία, εκπαίδευση, πολιτισμός, αθλητισμός, αναψυχή, περιβάλλον, στέγαση και κοινωνικές υπηρεσίες. Οι υπηρεσίες που αναφέρονται παραπάνω ταξινομούνται ως δημόσιες υπηρεσίες. Επομένως, </w:t>
            </w:r>
            <w:r w:rsidRPr="00A2658A">
              <w:rPr>
                <w:color w:val="000000"/>
                <w:u w:val="single"/>
              </w:rPr>
              <w:t>ένας δημόσιος ή ιδιωτικός οργανισμός</w:t>
            </w:r>
            <w:r w:rsidRPr="004C03A5">
              <w:rPr>
                <w:color w:val="000000"/>
              </w:rPr>
              <w:t xml:space="preserve"> που παρέχει αυτές τις υπηρεσίες θα πρέπει να καταμετράται σε αυτόν τον δείκτη.</w:t>
            </w:r>
          </w:p>
        </w:tc>
      </w:tr>
      <w:tr w:rsidR="00115662" w:rsidRPr="00B86F04" w14:paraId="0D3ADA20"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0DD9CB48"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t>Μονάδα μέτρησης</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7758301E" w14:textId="77777777" w:rsidR="00115662" w:rsidRPr="009F555C"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9F555C">
              <w:rPr>
                <w:color w:val="000000"/>
              </w:rPr>
              <w:t>Αριθμός φορέων</w:t>
            </w:r>
          </w:p>
        </w:tc>
      </w:tr>
      <w:tr w:rsidR="00115662" w:rsidRPr="00B86F04" w14:paraId="405CE839"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25CEAE68"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t>Στόχος</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050588C7" w14:textId="77777777" w:rsidR="00115662" w:rsidRPr="00F31366"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F31366">
              <w:rPr>
                <w:color w:val="000000"/>
              </w:rPr>
              <w:t>Είναι η τιμή που αναμένεται στο τέλος της προγραμματικής περιόδου. Δεν απαιτείται σύνδεση όλων των δεικτών με τιμή στόχου</w:t>
            </w:r>
          </w:p>
        </w:tc>
      </w:tr>
      <w:tr w:rsidR="00115662" w:rsidRPr="00B86F04" w14:paraId="730F9971"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4745B9CF"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t>Τιμή Βάσης</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58F611A4" w14:textId="77777777" w:rsidR="00115662" w:rsidRPr="00F31366"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F31366">
              <w:rPr>
                <w:color w:val="000000"/>
              </w:rPr>
              <w:t>0</w:t>
            </w:r>
          </w:p>
        </w:tc>
      </w:tr>
      <w:tr w:rsidR="00115662" w:rsidRPr="00B86F04" w14:paraId="7A2DE725"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387E6E3A" w14:textId="77777777" w:rsidR="00115662" w:rsidRPr="00B86F04" w:rsidRDefault="00115662" w:rsidP="00F32211">
            <w:pPr>
              <w:spacing w:before="60" w:after="60"/>
              <w:jc w:val="left"/>
              <w:rPr>
                <w:rFonts w:cs="Calibri"/>
                <w:color w:val="FF0000"/>
                <w:lang w:eastAsia="el-GR"/>
              </w:rPr>
            </w:pPr>
            <w:r w:rsidRPr="00B86F04">
              <w:rPr>
                <w:rFonts w:cstheme="minorHAnsi"/>
                <w:lang w:eastAsia="el-GR"/>
              </w:rPr>
              <w:t>Κατηγοριοποίηση</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65576961" w14:textId="77777777" w:rsidR="00115662"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F31366">
              <w:rPr>
                <w:color w:val="000000"/>
              </w:rPr>
              <w:t>Ανά κατηγορία περιφέρειας</w:t>
            </w:r>
            <w:r>
              <w:rPr>
                <w:color w:val="000000"/>
              </w:rPr>
              <w:t>.</w:t>
            </w:r>
          </w:p>
          <w:p w14:paraId="6572A4EC" w14:textId="77777777" w:rsidR="00115662" w:rsidRPr="00F31366"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015017">
              <w:rPr>
                <w:b/>
                <w:color w:val="000000"/>
              </w:rPr>
              <w:t>Σε παρεμβάσεις Τομεακών Προγραμμάτων που έχουν οριζόντιο χαρακτήρα και που η τιμή του δείκτη δεν δύναται να διαιρεθεί ανά κατηγορία περιφερειών, καθώς δεν λαμβάνει δεκαδικά, αποτυπώνονται οι τιμές με βάση την κατανομή των πόρων (</w:t>
            </w:r>
            <w:r w:rsidRPr="00015017">
              <w:rPr>
                <w:b/>
                <w:color w:val="000000"/>
                <w:lang w:val="en-US"/>
              </w:rPr>
              <w:t>pro</w:t>
            </w:r>
            <w:r w:rsidRPr="00015017">
              <w:rPr>
                <w:b/>
                <w:color w:val="000000"/>
              </w:rPr>
              <w:t xml:space="preserve"> </w:t>
            </w:r>
            <w:r w:rsidRPr="00015017">
              <w:rPr>
                <w:b/>
                <w:color w:val="000000"/>
                <w:lang w:val="en-US"/>
              </w:rPr>
              <w:t>rata</w:t>
            </w:r>
            <w:r w:rsidRPr="00015017">
              <w:rPr>
                <w:b/>
                <w:color w:val="000000"/>
              </w:rPr>
              <w:t xml:space="preserve"> </w:t>
            </w:r>
            <w:r w:rsidRPr="00015017">
              <w:rPr>
                <w:b/>
                <w:color w:val="000000"/>
                <w:lang w:val="en-US"/>
              </w:rPr>
              <w:t>allocation</w:t>
            </w:r>
            <w:r w:rsidRPr="00015017">
              <w:rPr>
                <w:b/>
                <w:color w:val="000000"/>
              </w:rPr>
              <w:t xml:space="preserve">) </w:t>
            </w:r>
            <w:r>
              <w:rPr>
                <w:b/>
                <w:color w:val="000000"/>
              </w:rPr>
              <w:t xml:space="preserve">έτσι ώστε </w:t>
            </w:r>
            <w:r>
              <w:rPr>
                <w:b/>
                <w:color w:val="000000"/>
              </w:rPr>
              <w:lastRenderedPageBreak/>
              <w:t xml:space="preserve">μεγαλύτερη τιμή να λάβει η κατηγορία περιφερειών που έχει το μεγαλύτερο προϋπολογισμό. Σε  περιπτώσεις που ο δείκτης έχει τιμή 1 , η τιμή καταχωρείται αντίστοιχα στην κατηγορία περιφερειών με το μεγαλύτερο προϋπολογισμό και η άλλη </w:t>
            </w:r>
            <w:proofErr w:type="spellStart"/>
            <w:r>
              <w:rPr>
                <w:b/>
                <w:color w:val="000000"/>
              </w:rPr>
              <w:t>κ.π</w:t>
            </w:r>
            <w:proofErr w:type="spellEnd"/>
            <w:r>
              <w:rPr>
                <w:b/>
                <w:color w:val="000000"/>
              </w:rPr>
              <w:t xml:space="preserve"> λαμβάνει μηδενική τιμή. (1-0 = Σύνολο 1)</w:t>
            </w:r>
          </w:p>
        </w:tc>
      </w:tr>
      <w:tr w:rsidR="00115662" w:rsidRPr="00B86F04" w14:paraId="34421248"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4E09687B"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lastRenderedPageBreak/>
              <w:t>Τεκμηρίωση</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59FA2234" w14:textId="77777777" w:rsidR="00115662" w:rsidRPr="00735767"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735767">
              <w:rPr>
                <w:color w:val="000000"/>
              </w:rPr>
              <w:t>Τα Κ-Μ θα συγκεντρώσουν τους πόρους ESF+  στο πλαίσιο της επιμερισμένης διαχείρισης σε παρεμβάσεις που αντιμετωπίζουν τις προκλήσεις που έχουν αναδειχθεί στα Εθνικά Προγράμματα Μεταρρυθμίσεων, στο Ευρωπαϊκό Εξάμηνο και στις σχετικές ανά χώρα συστάσεις σύμφωνα με το άρθρ. 121(2) της Συνθήκης για την ΕΕ και το άρθρ. 148(4). Καθώς σημαντικό κομμάτι αυτών των προκλήσεων είναι συστημικό, το ESF+ θα συγχρηματοδοτήσει συστημικές παρεμβάσεις σε όλους τους Ειδικούς Στόχους. Η τιμή του δείκτη αποτελεί σημαντική ένδειξη για το πώς το ESF+ χρησιμοποιείται για να υποστηρίξει τις συστημικές αλλαγές.</w:t>
            </w:r>
          </w:p>
          <w:p w14:paraId="6BFF17D4" w14:textId="77777777" w:rsidR="00115662" w:rsidRPr="00735767"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735767">
              <w:rPr>
                <w:color w:val="000000"/>
              </w:rPr>
              <w:t>Επιπλέον, το ESF+ θα συμβάλλει επίσης στους Στόχους Πολιτικής άλλων Ταμείων, συμπεριλαμβανομένης της συστημικής υποστήριξης φορέων, και ιδίως στους ΣΠ  (1) και (2)</w:t>
            </w:r>
          </w:p>
        </w:tc>
      </w:tr>
      <w:tr w:rsidR="00115662" w:rsidRPr="00B86F04" w14:paraId="38E053F8"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65C42E25"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t>Συλλογή δεδομένων</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322B210D" w14:textId="77777777" w:rsidR="00115662" w:rsidRDefault="00115662" w:rsidP="00F32211">
            <w:pPr>
              <w:spacing w:before="60" w:after="60"/>
              <w:cnfStyle w:val="000000000000" w:firstRow="0" w:lastRow="0" w:firstColumn="0" w:lastColumn="0" w:oddVBand="0" w:evenVBand="0" w:oddHBand="0" w:evenHBand="0" w:firstRowFirstColumn="0" w:firstRowLastColumn="0" w:lastRowFirstColumn="0" w:lastRowLastColumn="0"/>
            </w:pPr>
            <w:r>
              <w:t xml:space="preserve">Ο δείκτης θα πρέπει να περιλαμβάνεται στις προσκλήσεις των παρεμβάσεων που συμβάλλουν σε αυτόν, και όχι μόνο στις περιπτώσεις που είναι επιχειρησιακός δείκτης στον αντίστοιχο Ειδικό Στόχο. </w:t>
            </w:r>
          </w:p>
          <w:p w14:paraId="3B9FC0DF" w14:textId="77777777" w:rsidR="00115662"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sidRPr="0039187D">
              <w:t>Η πληροφορία για το δείκτη θα συλλέγεται από διοικητικά έγγραφα π.χ. συμφωνίες επιχορήγησης.</w:t>
            </w:r>
            <w:r w:rsidRPr="00735767">
              <w:rPr>
                <w:color w:val="000000"/>
              </w:rPr>
              <w:t xml:space="preserve"> Μόνο οι φορείς δημόσιας διοίκησης ή οι δημόσιες υπηρεσίες για τις οποίες προβλέπεται συγκεκριμένη δαπάνη θα πρέπει να μετρούνται στο δείκτη. Δεν περιλαμβάνονται οι δαπάνες Τεχνικής Βοήθειας.</w:t>
            </w:r>
          </w:p>
          <w:p w14:paraId="7AB6F9FC" w14:textId="77777777" w:rsidR="00115662"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color w:val="000000"/>
              </w:rPr>
            </w:pPr>
            <w:r>
              <w:rPr>
                <w:color w:val="000000"/>
                <w:lang w:val="en-US"/>
              </w:rPr>
              <w:t>O</w:t>
            </w:r>
            <w:r w:rsidRPr="0016199E">
              <w:rPr>
                <w:color w:val="000000"/>
              </w:rPr>
              <w:t xml:space="preserve"> </w:t>
            </w:r>
            <w:r>
              <w:rPr>
                <w:color w:val="000000"/>
              </w:rPr>
              <w:t>δείκτης λαμβάνει τιμή κατά την έναρξη υλοποίησης της πράξης στην οποία υποστηρίζεται η δημόσια υπηρεσία/φορέας που μετρά.</w:t>
            </w:r>
          </w:p>
          <w:p w14:paraId="58A1239E" w14:textId="77777777" w:rsidR="00115662" w:rsidRPr="00767341" w:rsidRDefault="00115662" w:rsidP="00F32211">
            <w:pPr>
              <w:spacing w:before="60" w:after="60"/>
              <w:cnfStyle w:val="000000000000" w:firstRow="0" w:lastRow="0" w:firstColumn="0" w:lastColumn="0" w:oddVBand="0" w:evenVBand="0" w:oddHBand="0" w:evenHBand="0" w:firstRowFirstColumn="0" w:firstRowLastColumn="0" w:lastRowFirstColumn="0" w:lastRowLastColumn="0"/>
              <w:rPr>
                <w:i/>
                <w:color w:val="000000"/>
              </w:rPr>
            </w:pPr>
            <w:r w:rsidRPr="00767341">
              <w:rPr>
                <w:i/>
                <w:color w:val="000000"/>
              </w:rPr>
              <w:t>Εφόσον απαιτηθεί θα δοθούν περισσότερες οδηγίες στα έντυπα του ΣΔΕ.</w:t>
            </w:r>
          </w:p>
        </w:tc>
      </w:tr>
      <w:tr w:rsidR="00115662" w:rsidRPr="00B86F04" w14:paraId="07E7F599"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11021655"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t>Συχνότητα αναφοράς</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181F6810" w14:textId="77777777" w:rsidR="00115662" w:rsidRPr="00735767" w:rsidRDefault="00115662" w:rsidP="00F32211">
            <w:pPr>
              <w:spacing w:before="60" w:after="60"/>
              <w:jc w:val="left"/>
              <w:cnfStyle w:val="000000000000" w:firstRow="0" w:lastRow="0" w:firstColumn="0" w:lastColumn="0" w:oddVBand="0" w:evenVBand="0" w:oddHBand="0" w:evenHBand="0" w:firstRowFirstColumn="0" w:firstRowLastColumn="0" w:lastRowFirstColumn="0" w:lastRowLastColumn="0"/>
              <w:rPr>
                <w:color w:val="000000"/>
              </w:rPr>
            </w:pPr>
            <w:r w:rsidRPr="00735767">
              <w:rPr>
                <w:color w:val="000000"/>
              </w:rPr>
              <w:t>Δύο φορές ετησίως, τέλος Ιανουαρίου και τέλος Ιουλίου, ξεκινώντας από 31.1.2022 και έως το 2030.</w:t>
            </w:r>
          </w:p>
        </w:tc>
      </w:tr>
      <w:tr w:rsidR="00115662" w:rsidRPr="00B86F04" w14:paraId="4B7D58FF"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68C5A281"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t>Σύνδεση με δείκτες</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vAlign w:val="center"/>
          </w:tcPr>
          <w:p w14:paraId="00F82A59" w14:textId="77777777" w:rsidR="00115662" w:rsidRPr="00F31366" w:rsidRDefault="00115662" w:rsidP="00F32211">
            <w:pPr>
              <w:spacing w:before="60" w:after="60"/>
              <w:jc w:val="left"/>
              <w:cnfStyle w:val="000000000000" w:firstRow="0" w:lastRow="0" w:firstColumn="0" w:lastColumn="0" w:oddVBand="0" w:evenVBand="0" w:oddHBand="0" w:evenHBand="0" w:firstRowFirstColumn="0" w:firstRowLastColumn="0" w:lastRowFirstColumn="0" w:lastRowLastColumn="0"/>
              <w:rPr>
                <w:color w:val="000000"/>
              </w:rPr>
            </w:pPr>
            <w:r w:rsidRPr="00F31366">
              <w:rPr>
                <w:color w:val="000000"/>
              </w:rPr>
              <w:t>Δεν υπάρχει</w:t>
            </w:r>
          </w:p>
        </w:tc>
      </w:tr>
      <w:tr w:rsidR="00115662" w:rsidRPr="00B86F04" w14:paraId="28A55E8B"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A8D08D" w:themeColor="accent6" w:themeTint="99"/>
              <w:bottom w:val="single" w:sz="2" w:space="0" w:color="A8D08D" w:themeColor="accent6" w:themeTint="99"/>
              <w:right w:val="single" w:sz="4" w:space="0" w:color="A8D08D" w:themeColor="accent6" w:themeTint="99"/>
            </w:tcBorders>
            <w:noWrap/>
            <w:hideMark/>
          </w:tcPr>
          <w:p w14:paraId="22CBFF1D" w14:textId="77777777" w:rsidR="00115662" w:rsidRPr="00B86F04" w:rsidRDefault="00115662" w:rsidP="00F32211">
            <w:pPr>
              <w:spacing w:before="60" w:after="60"/>
              <w:jc w:val="left"/>
              <w:rPr>
                <w:rFonts w:cs="Calibri"/>
                <w:color w:val="000000"/>
                <w:lang w:eastAsia="el-GR"/>
              </w:rPr>
            </w:pPr>
            <w:r w:rsidRPr="00B86F04">
              <w:rPr>
                <w:rFonts w:cstheme="minorHAnsi"/>
                <w:color w:val="000000"/>
                <w:lang w:eastAsia="el-GR"/>
              </w:rPr>
              <w:t>Επικύρωση</w:t>
            </w:r>
          </w:p>
        </w:tc>
        <w:tc>
          <w:tcPr>
            <w:tcW w:w="3808" w:type="pct"/>
            <w:tc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tcBorders>
            <w:shd w:val="clear" w:color="auto" w:fill="auto"/>
            <w:noWrap/>
            <w:vAlign w:val="center"/>
          </w:tcPr>
          <w:p w14:paraId="0706BDA0" w14:textId="77777777" w:rsidR="00115662" w:rsidRPr="00735767" w:rsidRDefault="00115662" w:rsidP="00F32211">
            <w:pPr>
              <w:spacing w:before="60" w:after="60"/>
              <w:jc w:val="left"/>
              <w:cnfStyle w:val="000000000000" w:firstRow="0" w:lastRow="0" w:firstColumn="0" w:lastColumn="0" w:oddVBand="0" w:evenVBand="0" w:oddHBand="0" w:evenHBand="0" w:firstRowFirstColumn="0" w:firstRowLastColumn="0" w:lastRowFirstColumn="0" w:lastRowLastColumn="0"/>
              <w:rPr>
                <w:color w:val="000000"/>
              </w:rPr>
            </w:pPr>
            <w:r w:rsidRPr="00735767">
              <w:rPr>
                <w:color w:val="000000"/>
              </w:rPr>
              <w:t>Δεν υπάρχει</w:t>
            </w:r>
          </w:p>
        </w:tc>
      </w:tr>
    </w:tbl>
    <w:p w14:paraId="355A0ED0" w14:textId="77777777" w:rsidR="00C93514" w:rsidRDefault="00C93514"/>
    <w:sectPr w:rsidR="00C93514">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0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662"/>
    <w:rsid w:val="00115662"/>
    <w:rsid w:val="0034159D"/>
    <w:rsid w:val="00C93514"/>
    <w:rsid w:val="00D041C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B79CA"/>
  <w15:chartTrackingRefBased/>
  <w15:docId w15:val="{E946C9AA-4309-4EC9-9C8D-58795B399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5662"/>
    <w:pPr>
      <w:jc w:val="both"/>
    </w:pPr>
    <w:rPr>
      <w:rFonts w:ascii="Calibri" w:eastAsia="Times New Roman" w:hAnsi="Calibri"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6">
    <w:name w:val="Grid Table 1 Light Accent 6"/>
    <w:basedOn w:val="a1"/>
    <w:uiPriority w:val="46"/>
    <w:rsid w:val="00115662"/>
    <w:pPr>
      <w:spacing w:after="0" w:line="240" w:lineRule="auto"/>
    </w:pPr>
    <w:rPr>
      <w:rFonts w:ascii="Calibri" w:eastAsia="Times New Roman" w:hAnsi="Calibri" w:cs="Times New Roman"/>
      <w:kern w:val="0"/>
      <w:sz w:val="20"/>
      <w:szCs w:val="20"/>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Default">
    <w:name w:val="Default"/>
    <w:rsid w:val="00115662"/>
    <w:pPr>
      <w:autoSpaceDE w:val="0"/>
      <w:autoSpaceDN w:val="0"/>
      <w:adjustRightInd w:val="0"/>
      <w:spacing w:after="0" w:line="240" w:lineRule="auto"/>
    </w:pPr>
    <w:rPr>
      <w:rFonts w:ascii="Calibri" w:eastAsia="Times New Roman"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742</Words>
  <Characters>4010</Characters>
  <Application>Microsoft Office Word</Application>
  <DocSecurity>0</DocSecurity>
  <Lines>33</Lines>
  <Paragraphs>9</Paragraphs>
  <ScaleCrop>false</ScaleCrop>
  <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ΙΩΑΝΝΙΔΗΣ ΧΡΥΣΟΣΤΟΜΟΣ</dc:creator>
  <cp:keywords/>
  <dc:description/>
  <cp:lastModifiedBy>ΙΩΑΝΝΙΔΗΣ ΧΡΥΣΟΣΤΟΜΟΣ</cp:lastModifiedBy>
  <cp:revision>1</cp:revision>
  <dcterms:created xsi:type="dcterms:W3CDTF">2023-06-13T19:19:00Z</dcterms:created>
  <dcterms:modified xsi:type="dcterms:W3CDTF">2023-06-13T19:21:00Z</dcterms:modified>
</cp:coreProperties>
</file>